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1FE" w:rsidRDefault="002941FE">
      <w:pPr>
        <w:pStyle w:val="Default"/>
      </w:pPr>
    </w:p>
    <w:p w:rsidR="002941FE" w:rsidRDefault="00E67894">
      <w:pPr>
        <w:pStyle w:val="Default"/>
        <w:rPr>
          <w:sz w:val="28"/>
        </w:rPr>
      </w:pPr>
      <w:r>
        <w:rPr>
          <w:b/>
          <w:sz w:val="28"/>
        </w:rPr>
        <w:t xml:space="preserve">Adatvédelmi tájékoztató panaszok és közérdekű bejelentések kezeléséhez kapcsolódó adatkezelésekhez </w:t>
      </w:r>
    </w:p>
    <w:p w:rsidR="002941FE" w:rsidRDefault="002941FE">
      <w:pPr>
        <w:pStyle w:val="Default"/>
        <w:rPr>
          <w:sz w:val="28"/>
        </w:rPr>
      </w:pPr>
    </w:p>
    <w:p w:rsidR="002941FE" w:rsidRDefault="002941FE">
      <w:pPr>
        <w:pStyle w:val="Default"/>
        <w:rPr>
          <w:sz w:val="28"/>
        </w:rPr>
      </w:pPr>
    </w:p>
    <w:p w:rsidR="002941FE" w:rsidRDefault="00E67894">
      <w:pPr>
        <w:pStyle w:val="Default"/>
        <w:jc w:val="both"/>
        <w:rPr>
          <w:sz w:val="20"/>
        </w:rPr>
      </w:pPr>
      <w:r>
        <w:rPr>
          <w:sz w:val="20"/>
        </w:rPr>
        <w:t xml:space="preserve">A panaszokról, a közérdekű bejelentésekről, valamint a visszaélések bejelentésével összefüggő szabályokról szóló 2023. évi XXV. törvény (továbbiakban: Panasz tv.) értelmében a panasz olyan kérelem, amely egyéni jog- vagy érdeksérelem megszüntetésére irányul, és elintézése nem tartozik más - így különösen bírósági, közigazgatási - eljárás hatálya alá. A közérdekű bejelentés olyan körülményre hívja fel a figyelmet, amelynek orvoslása vagy megszüntetése a közösség vagy az egész társadalom érdekét szolgálja. A közérdekű bejelentés és a panasz javaslatot is tartalmazhat. </w:t>
      </w:r>
    </w:p>
    <w:p w:rsidR="002941FE" w:rsidRDefault="002941FE">
      <w:pPr>
        <w:pStyle w:val="Default"/>
        <w:jc w:val="both"/>
        <w:rPr>
          <w:sz w:val="20"/>
        </w:rPr>
      </w:pPr>
    </w:p>
    <w:p w:rsidR="002941FE" w:rsidRDefault="00E67894">
      <w:pPr>
        <w:pStyle w:val="Default"/>
        <w:jc w:val="both"/>
        <w:rPr>
          <w:sz w:val="20"/>
        </w:rPr>
      </w:pPr>
      <w:r>
        <w:rPr>
          <w:sz w:val="20"/>
        </w:rPr>
        <w:t xml:space="preserve">Panasszal és közérdekű bejelentéssel bárki fordulhat a panasszal vagy a közérdekű bejelentéssel összefüggő tárgykörben eljárásra jogosult szervhez. A szóbeli panaszt vagy közérdekű bejelentést az eljárásra jogosult szerv írásba foglalja, és a panaszos vagy a közérdekű bejelentő számára másodpéldányban átadja. </w:t>
      </w:r>
    </w:p>
    <w:p w:rsidR="002941FE" w:rsidRDefault="002941FE">
      <w:pPr>
        <w:pStyle w:val="Default"/>
        <w:jc w:val="both"/>
        <w:rPr>
          <w:sz w:val="20"/>
        </w:rPr>
      </w:pPr>
    </w:p>
    <w:p w:rsidR="002941FE" w:rsidRDefault="00E67894">
      <w:pPr>
        <w:pStyle w:val="Default"/>
        <w:jc w:val="both"/>
        <w:rPr>
          <w:sz w:val="20"/>
        </w:rPr>
      </w:pPr>
      <w:r>
        <w:rPr>
          <w:sz w:val="20"/>
        </w:rPr>
        <w:t xml:space="preserve">A panaszt és a közérdekű bejelentést - ha törvény eltérően nem rendelkezik – az eljárásra jogosult szervhez történő beérkezésétől számított harminc napon belül kell elbírálni. Ha az elbírálást megalapozó vizsgálat előreláthatólag harminc napnál hosszabb ideig tart, erről a panaszost vagy a közérdekű bejelentőt tájékoztatja az Adatkezelő. Az ügyintézés határideje ezen esetben sem haladhatja meg a hat hónapot. </w:t>
      </w:r>
    </w:p>
    <w:p w:rsidR="002941FE" w:rsidRDefault="00E67894">
      <w:pPr>
        <w:pStyle w:val="Default"/>
        <w:jc w:val="both"/>
        <w:rPr>
          <w:sz w:val="20"/>
        </w:rPr>
      </w:pPr>
      <w:r>
        <w:rPr>
          <w:sz w:val="20"/>
        </w:rPr>
        <w:t xml:space="preserve">A korábbival azonos tartalmú, ugyanazon panaszos vagy közérdekű bejelentő által tett ismételt panasz vagy közérdekű bejelentés vizsgálata mellőzhető. A panasz vizsgálata mellőzhető akkor is, ha a panaszos a sérelmezett tevékenységről vagy mulasztásról való tudomásszerzéstől számított hat hónap után terjesztette elő panaszát. A sérelmezett tevékenység vagy mulasztás bekövetkeztétől számított egy éven túl előterjesztett panasz vizsgálatát Adatkezelő mellőzi. </w:t>
      </w:r>
    </w:p>
    <w:p w:rsidR="002941FE" w:rsidRDefault="00E67894">
      <w:pPr>
        <w:pStyle w:val="Default"/>
        <w:jc w:val="both"/>
        <w:rPr>
          <w:sz w:val="20"/>
        </w:rPr>
      </w:pPr>
      <w:r>
        <w:rPr>
          <w:sz w:val="20"/>
        </w:rPr>
        <w:t xml:space="preserve">Az azonosíthatatlan személy által tett panasz vagy közérdekű bejelentés vizsgálatát Adatkezelő ugyancsak mellőzi. Utóbbi esetben Adatkezelő kivételt tehet, ha a panasz vagy a közérdekű bejelentés alapjául súlyos jog- vagy érdeksérelem szolgál. </w:t>
      </w:r>
    </w:p>
    <w:p w:rsidR="002941FE" w:rsidRDefault="00E67894">
      <w:pPr>
        <w:pStyle w:val="Default"/>
        <w:jc w:val="both"/>
        <w:rPr>
          <w:sz w:val="20"/>
        </w:rPr>
      </w:pPr>
      <w:r>
        <w:rPr>
          <w:sz w:val="20"/>
        </w:rPr>
        <w:t xml:space="preserve">Ha az Adatkezelő számára nyilvánvalóvá válik, hogy a panaszos vagy a közérdekű bejelentő rosszhiszeműen, valótlan adatot vagy információt közölt, a panasz vagy a közérdekű bejelentés elintézését megalapozó vizsgálatot intézkedés mellőzésével Adatkezelő befejezheti. </w:t>
      </w:r>
    </w:p>
    <w:p w:rsidR="002941FE" w:rsidRDefault="00E67894">
      <w:pPr>
        <w:pStyle w:val="Default"/>
        <w:jc w:val="both"/>
        <w:rPr>
          <w:sz w:val="20"/>
        </w:rPr>
      </w:pPr>
      <w:r>
        <w:rPr>
          <w:sz w:val="20"/>
        </w:rPr>
        <w:t xml:space="preserve">Az érintett bejelentőt – a </w:t>
      </w:r>
      <w:proofErr w:type="spellStart"/>
      <w:r>
        <w:rPr>
          <w:sz w:val="20"/>
        </w:rPr>
        <w:t>Panasztv</w:t>
      </w:r>
      <w:proofErr w:type="spellEnd"/>
      <w:r>
        <w:rPr>
          <w:sz w:val="20"/>
        </w:rPr>
        <w:t xml:space="preserve">. 6. § (4) bekezdésében, illetve a jelen tájékoztató 7. pontjában szabályozottak kivételével – nem érheti hátrány a bejelentés megtétele miatt. </w:t>
      </w:r>
    </w:p>
    <w:p w:rsidR="002941FE" w:rsidRDefault="00E67894">
      <w:pPr>
        <w:pStyle w:val="Default"/>
        <w:jc w:val="both"/>
        <w:rPr>
          <w:sz w:val="20"/>
        </w:rPr>
      </w:pPr>
      <w:r>
        <w:rPr>
          <w:sz w:val="20"/>
        </w:rPr>
        <w:t xml:space="preserve">Jelen tájékoztató a panaszok, és közérdekű bejelentések, javaslatok ügyintézése során történő adatkezelésre vonatkozik, és a természetes személyeknek a személyes adatok kezelése tekintetében történő védelméről és az ilyen adatok szabad áramlásáról, valamint a 95/46/EK rendelet hatályon kívül helyezéséről szóló Európai Parlament és a Tanács (EU) 2016/679 rendelet (2016. április 27.) (általános adatvédelmi rendelet, a továbbiakban: GDPR) rendelkezéseinek, továbbá az információs önrendelkezési jogról és az információszabadságról szóló 2011. évi CXII. törvény (a továbbiakban: </w:t>
      </w:r>
      <w:proofErr w:type="spellStart"/>
      <w:r>
        <w:rPr>
          <w:sz w:val="20"/>
        </w:rPr>
        <w:t>Infotv</w:t>
      </w:r>
      <w:proofErr w:type="spellEnd"/>
      <w:r>
        <w:rPr>
          <w:sz w:val="20"/>
        </w:rPr>
        <w:t xml:space="preserve">.) rendelkezéseinek figyelembevételével készült. </w:t>
      </w:r>
    </w:p>
    <w:p w:rsidR="002941FE" w:rsidRDefault="002941FE">
      <w:pPr>
        <w:pStyle w:val="Default"/>
        <w:jc w:val="both"/>
        <w:rPr>
          <w:sz w:val="20"/>
        </w:rPr>
      </w:pPr>
    </w:p>
    <w:p w:rsidR="002941FE" w:rsidRDefault="00E67894" w:rsidP="00E67894">
      <w:pPr>
        <w:pStyle w:val="Default"/>
        <w:numPr>
          <w:ilvl w:val="0"/>
          <w:numId w:val="11"/>
        </w:numPr>
        <w:jc w:val="both"/>
        <w:rPr>
          <w:b/>
          <w:sz w:val="20"/>
        </w:rPr>
      </w:pPr>
      <w:r>
        <w:rPr>
          <w:b/>
          <w:sz w:val="20"/>
        </w:rPr>
        <w:t xml:space="preserve">Adatkezelő adatai </w:t>
      </w:r>
    </w:p>
    <w:p w:rsidR="00E67894" w:rsidRPr="00FD4258" w:rsidRDefault="00E67894" w:rsidP="00FD4258">
      <w:pPr>
        <w:pStyle w:val="Default"/>
        <w:ind w:left="720"/>
        <w:jc w:val="both"/>
        <w:rPr>
          <w:rFonts w:cs="Times New Roman"/>
          <w:sz w:val="20"/>
          <w:szCs w:val="20"/>
        </w:rPr>
      </w:pPr>
    </w:p>
    <w:p w:rsidR="00FD4258" w:rsidRPr="00FD4258" w:rsidRDefault="00FD4258" w:rsidP="00FD4258">
      <w:pPr>
        <w:pStyle w:val="Szvegtrzs"/>
        <w:spacing w:after="0" w:line="240" w:lineRule="auto"/>
        <w:rPr>
          <w:rFonts w:ascii="Times New Roman" w:hAnsi="Times New Roman" w:cs="Times New Roman"/>
          <w:color w:val="FF0000"/>
          <w:sz w:val="20"/>
          <w:szCs w:val="20"/>
        </w:rPr>
      </w:pPr>
      <w:r w:rsidRPr="00FD4258">
        <w:rPr>
          <w:rFonts w:ascii="Times New Roman" w:hAnsi="Times New Roman" w:cs="Times New Roman"/>
          <w:sz w:val="20"/>
          <w:szCs w:val="20"/>
        </w:rPr>
        <w:t>Adatkezelő:</w:t>
      </w:r>
      <w:r w:rsidRPr="00FD4258">
        <w:rPr>
          <w:rFonts w:ascii="Times New Roman" w:hAnsi="Times New Roman" w:cs="Times New Roman"/>
          <w:sz w:val="20"/>
          <w:szCs w:val="20"/>
        </w:rPr>
        <w:tab/>
      </w:r>
      <w:r w:rsidRPr="00FD4258">
        <w:rPr>
          <w:rFonts w:ascii="Times New Roman" w:hAnsi="Times New Roman" w:cs="Times New Roman"/>
          <w:b/>
          <w:sz w:val="20"/>
          <w:szCs w:val="20"/>
        </w:rPr>
        <w:t>Kulturális Pénzügyi-Gazdasági Szolgáltató Központ</w:t>
      </w:r>
    </w:p>
    <w:p w:rsidR="00FD4258" w:rsidRPr="00FD4258" w:rsidRDefault="00FD4258" w:rsidP="00FD4258">
      <w:pPr>
        <w:pStyle w:val="Szvegtrzs"/>
        <w:spacing w:after="0" w:line="240" w:lineRule="auto"/>
        <w:rPr>
          <w:rFonts w:ascii="Times New Roman" w:hAnsi="Times New Roman" w:cs="Times New Roman"/>
          <w:sz w:val="20"/>
          <w:szCs w:val="20"/>
        </w:rPr>
      </w:pPr>
      <w:r w:rsidRPr="00FD4258">
        <w:rPr>
          <w:rFonts w:ascii="Times New Roman" w:hAnsi="Times New Roman" w:cs="Times New Roman"/>
          <w:sz w:val="20"/>
          <w:szCs w:val="20"/>
        </w:rPr>
        <w:t xml:space="preserve">Képviseli: </w:t>
      </w:r>
      <w:r w:rsidRPr="00FD4258">
        <w:rPr>
          <w:rFonts w:ascii="Times New Roman" w:hAnsi="Times New Roman" w:cs="Times New Roman"/>
          <w:sz w:val="20"/>
          <w:szCs w:val="20"/>
        </w:rPr>
        <w:tab/>
        <w:t>Sándorné Szalay Andrea igazgató</w:t>
      </w:r>
    </w:p>
    <w:p w:rsidR="00FD4258" w:rsidRPr="00FD4258" w:rsidRDefault="00FD4258" w:rsidP="00FD4258">
      <w:pPr>
        <w:pStyle w:val="Szvegtrzs"/>
        <w:spacing w:after="0" w:line="240" w:lineRule="auto"/>
        <w:rPr>
          <w:rFonts w:ascii="Times New Roman" w:hAnsi="Times New Roman" w:cs="Times New Roman"/>
          <w:sz w:val="20"/>
          <w:szCs w:val="20"/>
        </w:rPr>
      </w:pPr>
      <w:r w:rsidRPr="00FD4258">
        <w:rPr>
          <w:rFonts w:ascii="Times New Roman" w:hAnsi="Times New Roman" w:cs="Times New Roman"/>
          <w:sz w:val="20"/>
          <w:szCs w:val="20"/>
        </w:rPr>
        <w:t xml:space="preserve">Levelezési cím: </w:t>
      </w:r>
      <w:r w:rsidRPr="00FD4258">
        <w:rPr>
          <w:rFonts w:ascii="Times New Roman" w:hAnsi="Times New Roman" w:cs="Times New Roman"/>
          <w:sz w:val="20"/>
          <w:szCs w:val="20"/>
        </w:rPr>
        <w:tab/>
        <w:t>902</w:t>
      </w:r>
      <w:r w:rsidR="0045137F">
        <w:rPr>
          <w:rFonts w:ascii="Times New Roman" w:hAnsi="Times New Roman" w:cs="Times New Roman"/>
          <w:sz w:val="20"/>
          <w:szCs w:val="20"/>
        </w:rPr>
        <w:t>1 Győr, Kazinczy Ferenc utca 3.</w:t>
      </w:r>
      <w:bookmarkStart w:id="0" w:name="_GoBack"/>
      <w:bookmarkEnd w:id="0"/>
    </w:p>
    <w:p w:rsidR="00FD4258" w:rsidRPr="00FD4258" w:rsidRDefault="00FD4258" w:rsidP="00FD4258">
      <w:pPr>
        <w:pStyle w:val="Szvegtrzs"/>
        <w:spacing w:after="0" w:line="240" w:lineRule="auto"/>
        <w:rPr>
          <w:rFonts w:ascii="Times New Roman" w:hAnsi="Times New Roman" w:cs="Times New Roman"/>
          <w:sz w:val="20"/>
          <w:szCs w:val="20"/>
        </w:rPr>
      </w:pPr>
      <w:r w:rsidRPr="00FD4258">
        <w:rPr>
          <w:rFonts w:ascii="Times New Roman" w:hAnsi="Times New Roman" w:cs="Times New Roman"/>
          <w:sz w:val="20"/>
          <w:szCs w:val="20"/>
        </w:rPr>
        <w:t xml:space="preserve">E-mail: </w:t>
      </w:r>
      <w:r w:rsidRPr="00FD4258">
        <w:rPr>
          <w:rFonts w:ascii="Times New Roman" w:hAnsi="Times New Roman" w:cs="Times New Roman"/>
          <w:sz w:val="20"/>
          <w:szCs w:val="20"/>
        </w:rPr>
        <w:tab/>
      </w:r>
      <w:r w:rsidRPr="00FD4258">
        <w:rPr>
          <w:rFonts w:ascii="Times New Roman" w:hAnsi="Times New Roman" w:cs="Times New Roman"/>
          <w:sz w:val="20"/>
          <w:szCs w:val="20"/>
        </w:rPr>
        <w:tab/>
        <w:t>info@kpgszk.hu</w:t>
      </w:r>
    </w:p>
    <w:p w:rsidR="002941FE" w:rsidRPr="00FD4258" w:rsidRDefault="002941FE" w:rsidP="00FD4258">
      <w:pPr>
        <w:pStyle w:val="Default"/>
        <w:jc w:val="both"/>
        <w:rPr>
          <w:rFonts w:cs="Times New Roman"/>
          <w:sz w:val="20"/>
          <w:szCs w:val="20"/>
        </w:rPr>
      </w:pPr>
    </w:p>
    <w:p w:rsidR="002941FE" w:rsidRDefault="00E67894" w:rsidP="00E67894">
      <w:pPr>
        <w:pStyle w:val="Default"/>
        <w:numPr>
          <w:ilvl w:val="0"/>
          <w:numId w:val="11"/>
        </w:numPr>
        <w:jc w:val="both"/>
        <w:rPr>
          <w:b/>
          <w:sz w:val="20"/>
        </w:rPr>
      </w:pPr>
      <w:r>
        <w:rPr>
          <w:b/>
          <w:sz w:val="20"/>
        </w:rPr>
        <w:t xml:space="preserve">Adatvédelmi tisztviselő </w:t>
      </w:r>
    </w:p>
    <w:p w:rsidR="00E67894" w:rsidRDefault="00E67894" w:rsidP="00E67894">
      <w:pPr>
        <w:pStyle w:val="Default"/>
        <w:ind w:left="720"/>
        <w:jc w:val="both"/>
        <w:rPr>
          <w:sz w:val="20"/>
        </w:rPr>
      </w:pPr>
    </w:p>
    <w:p w:rsidR="002941FE" w:rsidRDefault="00E67894">
      <w:pPr>
        <w:pStyle w:val="Default"/>
        <w:jc w:val="both"/>
        <w:rPr>
          <w:sz w:val="20"/>
        </w:rPr>
      </w:pPr>
      <w:proofErr w:type="gramStart"/>
      <w:r>
        <w:rPr>
          <w:sz w:val="20"/>
        </w:rPr>
        <w:t>dr.</w:t>
      </w:r>
      <w:proofErr w:type="gramEnd"/>
      <w:r>
        <w:rPr>
          <w:sz w:val="20"/>
        </w:rPr>
        <w:t xml:space="preserve"> E. Simon Katalin Ráhel (postacím: 9021 Győr, Városház tér 1</w:t>
      </w:r>
      <w:proofErr w:type="gramStart"/>
      <w:r>
        <w:rPr>
          <w:sz w:val="20"/>
        </w:rPr>
        <w:t>.,</w:t>
      </w:r>
      <w:proofErr w:type="gramEnd"/>
      <w:r>
        <w:rPr>
          <w:sz w:val="20"/>
        </w:rPr>
        <w:t xml:space="preserve"> E-mail: adatvedelem@gyor-ph.hu) </w:t>
      </w:r>
    </w:p>
    <w:p w:rsidR="002941FE" w:rsidRDefault="002941FE">
      <w:pPr>
        <w:pStyle w:val="Default"/>
        <w:jc w:val="both"/>
        <w:rPr>
          <w:sz w:val="20"/>
        </w:rPr>
      </w:pPr>
    </w:p>
    <w:p w:rsidR="002941FE" w:rsidRDefault="00E67894">
      <w:pPr>
        <w:pStyle w:val="Default"/>
        <w:jc w:val="both"/>
        <w:rPr>
          <w:sz w:val="20"/>
        </w:rPr>
      </w:pPr>
      <w:r>
        <w:rPr>
          <w:b/>
          <w:sz w:val="20"/>
        </w:rPr>
        <w:t xml:space="preserve">3. Az adatkezelés jogalapja </w:t>
      </w:r>
    </w:p>
    <w:p w:rsidR="00E67894" w:rsidRDefault="00E67894">
      <w:pPr>
        <w:pStyle w:val="Default"/>
        <w:jc w:val="both"/>
        <w:rPr>
          <w:sz w:val="20"/>
        </w:rPr>
      </w:pPr>
    </w:p>
    <w:p w:rsidR="002941FE" w:rsidRDefault="00E67894">
      <w:pPr>
        <w:pStyle w:val="Default"/>
        <w:jc w:val="both"/>
        <w:rPr>
          <w:sz w:val="20"/>
        </w:rPr>
      </w:pPr>
      <w:r>
        <w:rPr>
          <w:sz w:val="20"/>
        </w:rPr>
        <w:t xml:space="preserve">A GDPR 6. cikk (1) bekezdés </w:t>
      </w:r>
      <w:r>
        <w:rPr>
          <w:b/>
          <w:sz w:val="20"/>
        </w:rPr>
        <w:t xml:space="preserve">e) pontja </w:t>
      </w:r>
      <w:r>
        <w:rPr>
          <w:sz w:val="20"/>
        </w:rPr>
        <w:t>alapján az adatkezelés közhatalmi jogosítványok gyakorlásához, vagy közérdekű feladatok végrehajtásához szükséges, figyelemmel a panaszokról, a közérdekű bejelentésekről, valamint a visszaélések bejelentésével összefüggő szabályokról szóló 2023. évi XXV. törvény (a továbbiakban: Panasz tv.) 1–6. §-</w:t>
      </w:r>
      <w:proofErr w:type="spellStart"/>
      <w:r>
        <w:rPr>
          <w:sz w:val="20"/>
        </w:rPr>
        <w:t>ának</w:t>
      </w:r>
      <w:proofErr w:type="spellEnd"/>
      <w:r>
        <w:rPr>
          <w:sz w:val="20"/>
        </w:rPr>
        <w:t xml:space="preserve"> rendelkezéseire, figyelembe véve a GDPR 9. cikk (2) bekezdés f) és g) pontját is. </w:t>
      </w:r>
      <w:r>
        <w:br w:type="page"/>
      </w:r>
    </w:p>
    <w:p w:rsidR="002941FE" w:rsidRDefault="002941FE">
      <w:pPr>
        <w:pStyle w:val="Default"/>
        <w:jc w:val="both"/>
        <w:rPr>
          <w:sz w:val="20"/>
        </w:rPr>
      </w:pPr>
    </w:p>
    <w:p w:rsidR="002941FE" w:rsidRPr="00E67894" w:rsidRDefault="00E67894" w:rsidP="00E67894">
      <w:pPr>
        <w:pStyle w:val="Default"/>
        <w:numPr>
          <w:ilvl w:val="0"/>
          <w:numId w:val="12"/>
        </w:numPr>
        <w:jc w:val="both"/>
        <w:rPr>
          <w:b/>
          <w:sz w:val="20"/>
        </w:rPr>
      </w:pPr>
      <w:r w:rsidRPr="00E67894">
        <w:rPr>
          <w:b/>
          <w:sz w:val="20"/>
        </w:rPr>
        <w:t xml:space="preserve">Az adatkezelésre vonatkozó általános információk </w:t>
      </w:r>
    </w:p>
    <w:p w:rsidR="002941FE" w:rsidRDefault="002941FE">
      <w:pPr>
        <w:pStyle w:val="Default"/>
        <w:jc w:val="both"/>
        <w:rPr>
          <w:sz w:val="20"/>
        </w:rPr>
      </w:pPr>
    </w:p>
    <w:p w:rsidR="002941FE" w:rsidRDefault="00E67894">
      <w:pPr>
        <w:pStyle w:val="Default"/>
        <w:jc w:val="both"/>
        <w:rPr>
          <w:sz w:val="20"/>
        </w:rPr>
      </w:pPr>
      <w:r>
        <w:rPr>
          <w:sz w:val="20"/>
        </w:rPr>
        <w:t xml:space="preserve">Az érintett által szóban, személyesen tett bejelentés esetén a bejelentőt nyilatkoztatni kell, hogy kéri-e személyes adatainak zártan történő kezelését (a továbbiakban: zárt adatkezelés). Írásban tett bejelentés esetén a bejelentő zárt adatkezelési igényét vélelmezni kell. </w:t>
      </w:r>
    </w:p>
    <w:p w:rsidR="00E67894" w:rsidRDefault="00E67894">
      <w:pPr>
        <w:pStyle w:val="Default"/>
        <w:jc w:val="both"/>
        <w:rPr>
          <w:sz w:val="20"/>
        </w:rPr>
      </w:pPr>
    </w:p>
    <w:p w:rsidR="002941FE" w:rsidRDefault="00E67894">
      <w:pPr>
        <w:pStyle w:val="Default"/>
        <w:jc w:val="both"/>
        <w:rPr>
          <w:sz w:val="20"/>
        </w:rPr>
      </w:pPr>
      <w:r>
        <w:rPr>
          <w:sz w:val="20"/>
        </w:rPr>
        <w:t xml:space="preserve">Zárt adatkezelés esetén az irat-betekintési jog a bejelentő személyes adatainak felismerhetetlenné tétele mellett engedélyezhető. A bejelentő a bejelentésébe és a részére küldött tájékoztatásokba tekinthet be. </w:t>
      </w:r>
    </w:p>
    <w:p w:rsidR="00E67894" w:rsidRDefault="00E67894">
      <w:pPr>
        <w:pStyle w:val="Default"/>
        <w:jc w:val="both"/>
        <w:rPr>
          <w:sz w:val="20"/>
        </w:rPr>
      </w:pPr>
    </w:p>
    <w:p w:rsidR="002941FE" w:rsidRDefault="00E67894">
      <w:pPr>
        <w:pStyle w:val="Default"/>
        <w:jc w:val="both"/>
        <w:rPr>
          <w:sz w:val="20"/>
        </w:rPr>
      </w:pPr>
      <w:r>
        <w:rPr>
          <w:sz w:val="20"/>
        </w:rPr>
        <w:t xml:space="preserve">Ha a közérdekű bejelentés természetes személyre vonatkozik, az e természetes személyt megillető tájékoztatáshoz és hozzáféréshez való jog gyakorlása során a közérdekű bejelentő személyes adatai nem tehetők megismerhetővé a tájékoztatást kérő számára. </w:t>
      </w:r>
    </w:p>
    <w:p w:rsidR="002941FE" w:rsidRDefault="002941FE">
      <w:pPr>
        <w:pStyle w:val="Default"/>
        <w:jc w:val="both"/>
        <w:rPr>
          <w:sz w:val="20"/>
        </w:rPr>
      </w:pPr>
    </w:p>
    <w:p w:rsidR="002941FE" w:rsidRDefault="00E67894" w:rsidP="00E67894">
      <w:pPr>
        <w:pStyle w:val="Default"/>
        <w:numPr>
          <w:ilvl w:val="0"/>
          <w:numId w:val="12"/>
        </w:numPr>
        <w:jc w:val="both"/>
        <w:rPr>
          <w:b/>
          <w:sz w:val="20"/>
        </w:rPr>
      </w:pPr>
      <w:r>
        <w:rPr>
          <w:b/>
          <w:sz w:val="20"/>
        </w:rPr>
        <w:t xml:space="preserve">A kezelt adatok, forrásuk, az érintettek és az adatkezelés célja </w:t>
      </w:r>
    </w:p>
    <w:p w:rsidR="00E67894" w:rsidRDefault="00E67894" w:rsidP="00E67894">
      <w:pPr>
        <w:pStyle w:val="Default"/>
        <w:ind w:left="720"/>
        <w:jc w:val="both"/>
        <w:rPr>
          <w:sz w:val="20"/>
        </w:rPr>
      </w:pPr>
    </w:p>
    <w:p w:rsidR="002941FE" w:rsidRDefault="00E67894">
      <w:pPr>
        <w:pStyle w:val="Default"/>
        <w:jc w:val="both"/>
        <w:rPr>
          <w:sz w:val="20"/>
        </w:rPr>
      </w:pPr>
      <w:r w:rsidRPr="00E67894">
        <w:rPr>
          <w:sz w:val="20"/>
          <w:u w:val="single"/>
        </w:rPr>
        <w:t>Érintettek</w:t>
      </w:r>
      <w:r>
        <w:rPr>
          <w:sz w:val="20"/>
        </w:rPr>
        <w:t xml:space="preserve">: a panaszt, közérdekű bejelentést Adatkezelőhöz eljuttató személyek, valamint képviselőik </w:t>
      </w:r>
    </w:p>
    <w:p w:rsidR="00E67894" w:rsidRDefault="00E67894" w:rsidP="00E67894">
      <w:pPr>
        <w:pStyle w:val="Default"/>
        <w:jc w:val="both"/>
        <w:rPr>
          <w:sz w:val="20"/>
          <w:u w:val="single"/>
        </w:rPr>
      </w:pPr>
    </w:p>
    <w:p w:rsidR="002941FE" w:rsidRDefault="00E67894" w:rsidP="00E67894">
      <w:pPr>
        <w:pStyle w:val="Default"/>
        <w:jc w:val="both"/>
        <w:rPr>
          <w:sz w:val="20"/>
        </w:rPr>
      </w:pPr>
      <w:r w:rsidRPr="00E67894">
        <w:rPr>
          <w:sz w:val="20"/>
          <w:u w:val="single"/>
        </w:rPr>
        <w:t>Kezelt személyes adatok köre</w:t>
      </w:r>
      <w:r>
        <w:rPr>
          <w:sz w:val="20"/>
        </w:rPr>
        <w:t xml:space="preserve">: panaszos, illetve közérdekű bejelentő természetes személy </w:t>
      </w:r>
      <w:r>
        <w:rPr>
          <w:b/>
          <w:sz w:val="20"/>
        </w:rPr>
        <w:t>neve</w:t>
      </w:r>
      <w:r>
        <w:rPr>
          <w:sz w:val="20"/>
        </w:rPr>
        <w:t xml:space="preserve">, </w:t>
      </w:r>
      <w:r>
        <w:rPr>
          <w:b/>
          <w:sz w:val="20"/>
        </w:rPr>
        <w:t>személyazonosító adatai</w:t>
      </w:r>
      <w:r>
        <w:rPr>
          <w:sz w:val="20"/>
        </w:rPr>
        <w:t xml:space="preserve">, </w:t>
      </w:r>
      <w:r>
        <w:rPr>
          <w:b/>
          <w:sz w:val="20"/>
        </w:rPr>
        <w:t xml:space="preserve">értesítési címe </w:t>
      </w:r>
      <w:r>
        <w:rPr>
          <w:sz w:val="20"/>
        </w:rPr>
        <w:t xml:space="preserve">(elektronikus levelezési címe, postai címe), a beadványban található </w:t>
      </w:r>
      <w:r>
        <w:rPr>
          <w:b/>
          <w:sz w:val="20"/>
        </w:rPr>
        <w:t>egyéb személyes adatok</w:t>
      </w:r>
      <w:r>
        <w:rPr>
          <w:sz w:val="20"/>
        </w:rPr>
        <w:t xml:space="preserve">. </w:t>
      </w:r>
    </w:p>
    <w:p w:rsidR="002941FE" w:rsidRDefault="00E67894">
      <w:pPr>
        <w:pStyle w:val="Default"/>
        <w:numPr>
          <w:ilvl w:val="0"/>
          <w:numId w:val="2"/>
        </w:numPr>
        <w:jc w:val="both"/>
        <w:rPr>
          <w:sz w:val="20"/>
        </w:rPr>
      </w:pPr>
      <w:r>
        <w:rPr>
          <w:sz w:val="20"/>
        </w:rPr>
        <w:t xml:space="preserve">panaszost, illetve közérdekű bejelentőt képviselő személy </w:t>
      </w:r>
      <w:r>
        <w:rPr>
          <w:b/>
          <w:sz w:val="20"/>
        </w:rPr>
        <w:t>neve, értesítési címe</w:t>
      </w:r>
      <w:r>
        <w:rPr>
          <w:sz w:val="20"/>
        </w:rPr>
        <w:t xml:space="preserve">, a beadványban közölt egyéb személyes adata </w:t>
      </w:r>
    </w:p>
    <w:p w:rsidR="002941FE" w:rsidRDefault="002941FE">
      <w:pPr>
        <w:pStyle w:val="Default"/>
        <w:jc w:val="both"/>
        <w:rPr>
          <w:sz w:val="20"/>
        </w:rPr>
      </w:pPr>
    </w:p>
    <w:p w:rsidR="002941FE" w:rsidRDefault="00E67894">
      <w:pPr>
        <w:pStyle w:val="Default"/>
        <w:jc w:val="both"/>
        <w:rPr>
          <w:sz w:val="20"/>
        </w:rPr>
      </w:pPr>
      <w:r w:rsidRPr="00E67894">
        <w:rPr>
          <w:sz w:val="20"/>
          <w:u w:val="single"/>
        </w:rPr>
        <w:t>Adatkezelés célja</w:t>
      </w:r>
      <w:r>
        <w:rPr>
          <w:sz w:val="20"/>
        </w:rPr>
        <w:t xml:space="preserve">: Az Adatkezelőhöz beérkező panaszok és közérdekű bejelentések elbírálása, amelyek elintézése nem tartozik más – így különösen bírósági, vagy más közigazgatási – eljárás hatálya alá, figyelemmel a Panasz tv. 1–6. § előírásaira. </w:t>
      </w:r>
    </w:p>
    <w:p w:rsidR="00E67894" w:rsidRDefault="00E67894">
      <w:pPr>
        <w:pStyle w:val="Default"/>
        <w:jc w:val="both"/>
        <w:rPr>
          <w:sz w:val="20"/>
          <w:u w:val="single"/>
        </w:rPr>
      </w:pPr>
    </w:p>
    <w:p w:rsidR="002941FE" w:rsidRDefault="00E67894">
      <w:pPr>
        <w:pStyle w:val="Default"/>
        <w:jc w:val="both"/>
        <w:rPr>
          <w:sz w:val="20"/>
        </w:rPr>
      </w:pPr>
      <w:r w:rsidRPr="00E67894">
        <w:rPr>
          <w:sz w:val="20"/>
          <w:u w:val="single"/>
        </w:rPr>
        <w:t>A személyes adatok forrása</w:t>
      </w:r>
      <w:r>
        <w:rPr>
          <w:sz w:val="20"/>
        </w:rPr>
        <w:t xml:space="preserve">: az eljárás során kezelt személyes adatok az érintettől, illetve képviselőjétől jutnak az Adatkezelő tudomására. </w:t>
      </w:r>
    </w:p>
    <w:p w:rsidR="002941FE" w:rsidRDefault="002941FE">
      <w:pPr>
        <w:pStyle w:val="Default"/>
        <w:jc w:val="both"/>
        <w:rPr>
          <w:sz w:val="20"/>
        </w:rPr>
      </w:pPr>
    </w:p>
    <w:p w:rsidR="002941FE" w:rsidRDefault="00E67894" w:rsidP="00E67894">
      <w:pPr>
        <w:pStyle w:val="Default"/>
        <w:numPr>
          <w:ilvl w:val="0"/>
          <w:numId w:val="12"/>
        </w:numPr>
        <w:jc w:val="both"/>
        <w:rPr>
          <w:b/>
          <w:sz w:val="20"/>
        </w:rPr>
      </w:pPr>
      <w:r>
        <w:rPr>
          <w:b/>
          <w:sz w:val="20"/>
        </w:rPr>
        <w:t xml:space="preserve">Személyes adatok kezelésével kapcsolatos tájékoztatás </w:t>
      </w:r>
    </w:p>
    <w:p w:rsidR="00E67894" w:rsidRDefault="00E67894" w:rsidP="00E67894">
      <w:pPr>
        <w:pStyle w:val="Default"/>
        <w:ind w:left="720"/>
        <w:jc w:val="both"/>
        <w:rPr>
          <w:sz w:val="20"/>
        </w:rPr>
      </w:pPr>
    </w:p>
    <w:p w:rsidR="002941FE" w:rsidRDefault="00E67894">
      <w:pPr>
        <w:pStyle w:val="Default"/>
        <w:jc w:val="both"/>
        <w:rPr>
          <w:sz w:val="20"/>
        </w:rPr>
      </w:pPr>
      <w:r>
        <w:rPr>
          <w:sz w:val="20"/>
        </w:rPr>
        <w:t xml:space="preserve">Az adatkezeléssel összefüggésben profilalkotás, automatizált döntéshozatal nem történik. </w:t>
      </w:r>
    </w:p>
    <w:p w:rsidR="00E67894" w:rsidRDefault="00E67894">
      <w:pPr>
        <w:pStyle w:val="Default"/>
        <w:jc w:val="both"/>
        <w:rPr>
          <w:sz w:val="20"/>
        </w:rPr>
      </w:pPr>
    </w:p>
    <w:p w:rsidR="002941FE" w:rsidRDefault="00E67894">
      <w:pPr>
        <w:pStyle w:val="Default"/>
        <w:jc w:val="both"/>
        <w:rPr>
          <w:sz w:val="20"/>
        </w:rPr>
      </w:pPr>
      <w:r>
        <w:rPr>
          <w:sz w:val="20"/>
        </w:rPr>
        <w:t xml:space="preserve">Adatkezelő adatfeldolgozót nem vesz igénybe. </w:t>
      </w:r>
    </w:p>
    <w:p w:rsidR="002941FE" w:rsidRDefault="002941FE">
      <w:pPr>
        <w:pStyle w:val="Default"/>
        <w:jc w:val="both"/>
        <w:rPr>
          <w:sz w:val="20"/>
        </w:rPr>
      </w:pPr>
    </w:p>
    <w:p w:rsidR="002941FE" w:rsidRDefault="00E67894" w:rsidP="00E67894">
      <w:pPr>
        <w:pStyle w:val="Default"/>
        <w:numPr>
          <w:ilvl w:val="0"/>
          <w:numId w:val="12"/>
        </w:numPr>
        <w:jc w:val="both"/>
        <w:rPr>
          <w:b/>
          <w:sz w:val="20"/>
        </w:rPr>
      </w:pPr>
      <w:r>
        <w:rPr>
          <w:b/>
          <w:sz w:val="20"/>
        </w:rPr>
        <w:t xml:space="preserve">Adattovábbítás </w:t>
      </w:r>
    </w:p>
    <w:p w:rsidR="00E67894" w:rsidRDefault="00E67894" w:rsidP="00E67894">
      <w:pPr>
        <w:pStyle w:val="Default"/>
        <w:ind w:left="720"/>
        <w:jc w:val="both"/>
        <w:rPr>
          <w:sz w:val="20"/>
        </w:rPr>
      </w:pPr>
    </w:p>
    <w:p w:rsidR="002941FE" w:rsidRDefault="00E67894">
      <w:pPr>
        <w:pStyle w:val="Default"/>
        <w:jc w:val="both"/>
        <w:rPr>
          <w:sz w:val="20"/>
        </w:rPr>
      </w:pPr>
      <w:r>
        <w:rPr>
          <w:sz w:val="20"/>
        </w:rPr>
        <w:t xml:space="preserve">Ha nyilvánvalóvá vált, hogy a panaszos vagy a közérdekű bejelentő rosszhiszeműen, döntő jelentőségű valótlan információt közölt és </w:t>
      </w:r>
    </w:p>
    <w:p w:rsidR="002941FE" w:rsidRDefault="00E67894">
      <w:pPr>
        <w:pStyle w:val="Default"/>
        <w:jc w:val="both"/>
        <w:rPr>
          <w:sz w:val="20"/>
        </w:rPr>
      </w:pPr>
      <w:proofErr w:type="gramStart"/>
      <w:r>
        <w:rPr>
          <w:sz w:val="20"/>
        </w:rPr>
        <w:t>a</w:t>
      </w:r>
      <w:proofErr w:type="gramEnd"/>
      <w:r>
        <w:rPr>
          <w:sz w:val="20"/>
        </w:rPr>
        <w:t xml:space="preserve">) ezzel bűncselekmény vagy szabálysértés elkövetésére utaló körülmény merül fel, személyes adatait az eljárás lefolytatására jogosult szerv vagy személy részére át kell adni, </w:t>
      </w:r>
    </w:p>
    <w:p w:rsidR="002941FE" w:rsidRDefault="00E67894">
      <w:pPr>
        <w:pStyle w:val="Default"/>
        <w:jc w:val="both"/>
        <w:rPr>
          <w:sz w:val="20"/>
        </w:rPr>
      </w:pPr>
      <w:r>
        <w:rPr>
          <w:sz w:val="20"/>
        </w:rPr>
        <w:t xml:space="preserve">b) alappal valószínűsíthető, hogy másnak jogellenes kárt vagy egyéb jogsérelmet okozott, személyes adatait az eljárás kezdeményezésére, illetve lefolytatására jogosult szervnek vagy személynek kérelmére át kell adni. </w:t>
      </w:r>
    </w:p>
    <w:p w:rsidR="00E67894" w:rsidRDefault="00E67894">
      <w:pPr>
        <w:pStyle w:val="Default"/>
        <w:jc w:val="both"/>
        <w:rPr>
          <w:sz w:val="20"/>
        </w:rPr>
      </w:pPr>
    </w:p>
    <w:p w:rsidR="002941FE" w:rsidRDefault="00E67894">
      <w:pPr>
        <w:pStyle w:val="Default"/>
        <w:jc w:val="both"/>
        <w:rPr>
          <w:sz w:val="20"/>
        </w:rPr>
      </w:pPr>
      <w:r>
        <w:rPr>
          <w:sz w:val="20"/>
        </w:rPr>
        <w:t xml:space="preserve">Adatkezelő a panaszok és közérdekű bejelentések kivizsgálására irányuló eljárás során, fentieken túl nem közöl személyes adatokat harmadik személlyel. A személyes adatok harmadik országba vagy nemzetközi szervezet részére nem kerülnek továbbításra. </w:t>
      </w:r>
    </w:p>
    <w:p w:rsidR="002941FE" w:rsidRDefault="002941FE">
      <w:pPr>
        <w:pStyle w:val="Default"/>
        <w:jc w:val="both"/>
        <w:rPr>
          <w:sz w:val="20"/>
        </w:rPr>
      </w:pPr>
    </w:p>
    <w:p w:rsidR="002941FE" w:rsidRDefault="00E67894" w:rsidP="00E67894">
      <w:pPr>
        <w:pStyle w:val="Default"/>
        <w:numPr>
          <w:ilvl w:val="0"/>
          <w:numId w:val="12"/>
        </w:numPr>
        <w:jc w:val="both"/>
        <w:rPr>
          <w:b/>
          <w:sz w:val="20"/>
        </w:rPr>
      </w:pPr>
      <w:r>
        <w:rPr>
          <w:b/>
          <w:sz w:val="20"/>
        </w:rPr>
        <w:t xml:space="preserve">Az adatkezelés időtartama </w:t>
      </w:r>
    </w:p>
    <w:p w:rsidR="00E67894" w:rsidRDefault="00E67894" w:rsidP="00E67894">
      <w:pPr>
        <w:pStyle w:val="Default"/>
        <w:ind w:left="720"/>
        <w:jc w:val="both"/>
        <w:rPr>
          <w:sz w:val="20"/>
        </w:rPr>
      </w:pPr>
    </w:p>
    <w:p w:rsidR="002941FE" w:rsidRDefault="00E67894">
      <w:pPr>
        <w:pStyle w:val="Default"/>
        <w:jc w:val="both"/>
        <w:rPr>
          <w:sz w:val="20"/>
        </w:rPr>
      </w:pPr>
      <w:r>
        <w:rPr>
          <w:sz w:val="20"/>
        </w:rPr>
        <w:t xml:space="preserve">Adatkezelő a személyes adatokat tartalmazó iratot a közfeladatot ellátó szervek iratkezelésére vonatkozó jogszabályi követelmények szerint iktatja, és az iktatott iratok között a mindenkor hatályos irattári tervben meghatározott selejtezési időig, illetve – ennek hiányában – levéltárba adásáig kezeli. Ezt követően a levéltárba adandó iratokban foglalt adatok kivételével Adatkezelő az adatot törli, az iratokat selejtezi, illetve a levéltárba adással a személyes adatok kezelése Adatkezelőnél megszűnik. </w:t>
      </w:r>
      <w:r>
        <w:br w:type="page"/>
      </w:r>
    </w:p>
    <w:p w:rsidR="002941FE" w:rsidRDefault="00E67894" w:rsidP="00E67894">
      <w:pPr>
        <w:pStyle w:val="Default"/>
        <w:numPr>
          <w:ilvl w:val="0"/>
          <w:numId w:val="12"/>
        </w:numPr>
        <w:jc w:val="both"/>
        <w:rPr>
          <w:b/>
          <w:sz w:val="20"/>
        </w:rPr>
      </w:pPr>
      <w:r>
        <w:rPr>
          <w:b/>
          <w:sz w:val="20"/>
        </w:rPr>
        <w:lastRenderedPageBreak/>
        <w:t xml:space="preserve">Adatbiztonság </w:t>
      </w:r>
    </w:p>
    <w:p w:rsidR="00E67894" w:rsidRDefault="00E67894" w:rsidP="00E67894">
      <w:pPr>
        <w:pStyle w:val="Default"/>
        <w:ind w:left="720"/>
        <w:jc w:val="both"/>
        <w:rPr>
          <w:sz w:val="20"/>
        </w:rPr>
      </w:pPr>
    </w:p>
    <w:p w:rsidR="002941FE" w:rsidRDefault="00E67894">
      <w:pPr>
        <w:pStyle w:val="Default"/>
        <w:jc w:val="both"/>
        <w:rPr>
          <w:sz w:val="20"/>
        </w:rPr>
      </w:pPr>
      <w:r>
        <w:rPr>
          <w:sz w:val="20"/>
        </w:rPr>
        <w:t xml:space="preserve">Az Adatkezelő a személyes adatok kezelése során minden szükséges biztonsági lépést, szervezési és technikai intézkedést megtesz annak érdekében, hogy biztosítsa az érintettek magánszférájának védelmét. Az Adatkezelő megfelelő informatikai, technikai és személyi intézkedésekkel gondoskodik arról, hogy az általa kezelt személyes adatokat védje többek között a jogosulatlan hozzáférés ellen, vagy azok jogosulatlan megváltoztatása ellen (pl. gondoskodik a személyes adatok biztonságos tárolásáról, azokat védett szervereken/fizikai helyiségben tárolja, az informatikai rendszerben tárolt adatokhoz a hozzáférési jogokat szabályozza, a szükséges mértékű hozzáférésre korlátozza). </w:t>
      </w:r>
    </w:p>
    <w:p w:rsidR="00E67894" w:rsidRDefault="00E67894">
      <w:pPr>
        <w:pStyle w:val="Default"/>
        <w:jc w:val="both"/>
        <w:rPr>
          <w:sz w:val="20"/>
        </w:rPr>
      </w:pPr>
    </w:p>
    <w:p w:rsidR="002941FE" w:rsidRDefault="00E67894" w:rsidP="00E67894">
      <w:pPr>
        <w:pStyle w:val="Default"/>
        <w:numPr>
          <w:ilvl w:val="0"/>
          <w:numId w:val="12"/>
        </w:numPr>
        <w:jc w:val="both"/>
        <w:rPr>
          <w:b/>
          <w:bCs/>
          <w:sz w:val="20"/>
        </w:rPr>
      </w:pPr>
      <w:r>
        <w:rPr>
          <w:b/>
          <w:bCs/>
          <w:sz w:val="20"/>
        </w:rPr>
        <w:t>Az Érintett adatkezelésével kapcsolatos jogai</w:t>
      </w:r>
    </w:p>
    <w:p w:rsidR="002941FE" w:rsidRDefault="002941FE">
      <w:pPr>
        <w:pStyle w:val="Default"/>
        <w:jc w:val="both"/>
        <w:rPr>
          <w:sz w:val="20"/>
        </w:rPr>
      </w:pPr>
    </w:p>
    <w:p w:rsidR="002941FE" w:rsidRDefault="00E67894">
      <w:pPr>
        <w:pStyle w:val="Default"/>
        <w:jc w:val="both"/>
        <w:rPr>
          <w:sz w:val="20"/>
        </w:rPr>
      </w:pPr>
      <w:proofErr w:type="gramStart"/>
      <w:r>
        <w:rPr>
          <w:sz w:val="20"/>
          <w:u w:val="single"/>
        </w:rPr>
        <w:t xml:space="preserve">a) Hozzáférés, vagy tájékoztatáshoz való jog: </w:t>
      </w:r>
      <w:r>
        <w:rPr>
          <w:sz w:val="20"/>
        </w:rPr>
        <w:t>Az Érintett az Adatkezelőtől az 1. pontban foglalt elérhetőségeken keresztül írásban tájékoztatást kérhet arra vonatkozóan, hogy az Adatkezelőnél személyes adatainak/kezeltje személyes adatainak kezelése folyamatban van-e és ha igen, akkor a GDPR 15. cikk (1) bekezdés szerinti információkat (</w:t>
      </w:r>
      <w:proofErr w:type="spellStart"/>
      <w:r>
        <w:rPr>
          <w:sz w:val="20"/>
        </w:rPr>
        <w:t>pl</w:t>
      </w:r>
      <w:proofErr w:type="spellEnd"/>
      <w:r>
        <w:rPr>
          <w:sz w:val="20"/>
        </w:rPr>
        <w:t xml:space="preserve"> az adatkezelés célja, érintett személyes adatok kategóriái, az adatkezelés címzettjei és azok kategóriái, adatok tárolásának tervezett időtartama (ha ez lehetséges), vagy ezen időtartam meghatározásának szempontjai, jogainak, jogorvoslati jogainak ismertetése,</w:t>
      </w:r>
      <w:proofErr w:type="gramEnd"/>
      <w:r>
        <w:rPr>
          <w:sz w:val="20"/>
        </w:rPr>
        <w:t xml:space="preserve"> adatok forrására vonatkozó </w:t>
      </w:r>
      <w:proofErr w:type="gramStart"/>
      <w:r>
        <w:rPr>
          <w:sz w:val="20"/>
        </w:rPr>
        <w:t>információk</w:t>
      </w:r>
      <w:proofErr w:type="gramEnd"/>
      <w:r>
        <w:rPr>
          <w:sz w:val="20"/>
        </w:rPr>
        <w:t xml:space="preserve">, automatizált döntéshozatal ténye) megkaphassa. </w:t>
      </w:r>
    </w:p>
    <w:p w:rsidR="002941FE" w:rsidRDefault="002941FE">
      <w:pPr>
        <w:pStyle w:val="Default"/>
        <w:jc w:val="both"/>
        <w:rPr>
          <w:sz w:val="20"/>
        </w:rPr>
      </w:pPr>
    </w:p>
    <w:p w:rsidR="002941FE" w:rsidRDefault="00E67894">
      <w:pPr>
        <w:pStyle w:val="Default"/>
        <w:jc w:val="both"/>
        <w:rPr>
          <w:sz w:val="20"/>
        </w:rPr>
      </w:pPr>
      <w:r>
        <w:rPr>
          <w:sz w:val="20"/>
        </w:rPr>
        <w:t xml:space="preserve">Az Adatkezelő indokolatlan késedelem nélkül, de mindenféleképpen a kérelem beérkezésétől számított </w:t>
      </w:r>
      <w:r>
        <w:rPr>
          <w:b/>
          <w:sz w:val="20"/>
        </w:rPr>
        <w:t xml:space="preserve">egy hónapon belül </w:t>
      </w:r>
      <w:r>
        <w:rPr>
          <w:sz w:val="20"/>
        </w:rPr>
        <w:t xml:space="preserve">tájékoztatja az Érintettet a kérelme kapcsán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 Ha az Adatkezelő nem tesz intézkedéseket az Érintett kérelme nyomán, késedelem nélkül, de legkésőbb a kérelem beérkezésétől számított egy hónapon belül tájékoztatja az Érintettet az intézkedés elmaradásának okairól, valamint arról, hogy az Érintett panaszt nyújthat be valamely felügyeleti hatóságnál, és élhet bírósági jogorvoslati jogával. </w:t>
      </w:r>
    </w:p>
    <w:p w:rsidR="002941FE" w:rsidRDefault="002941FE">
      <w:pPr>
        <w:pStyle w:val="Default"/>
        <w:jc w:val="both"/>
        <w:rPr>
          <w:sz w:val="20"/>
        </w:rPr>
      </w:pPr>
    </w:p>
    <w:p w:rsidR="002941FE" w:rsidRDefault="00E67894">
      <w:pPr>
        <w:pStyle w:val="Default"/>
        <w:jc w:val="both"/>
        <w:rPr>
          <w:sz w:val="20"/>
        </w:rPr>
      </w:pPr>
      <w:r>
        <w:rPr>
          <w:sz w:val="20"/>
        </w:rPr>
        <w:t xml:space="preserve">b) </w:t>
      </w:r>
      <w:r>
        <w:rPr>
          <w:sz w:val="20"/>
          <w:u w:val="single"/>
        </w:rPr>
        <w:t>Helyesbítéshez való jog:</w:t>
      </w:r>
      <w:r>
        <w:rPr>
          <w:sz w:val="20"/>
        </w:rPr>
        <w:t xml:space="preserve"> Az Érintett jogosult arra, hogy az 1. pontban megadott elérhetőségeken keresztül írásban kérje hiányos adatának/képviseltje adatának kiegészítését, illetve pontatlan adatának helyesbítését. </w:t>
      </w:r>
    </w:p>
    <w:p w:rsidR="002941FE" w:rsidRDefault="002941FE">
      <w:pPr>
        <w:pStyle w:val="Default"/>
        <w:jc w:val="both"/>
        <w:rPr>
          <w:sz w:val="20"/>
        </w:rPr>
      </w:pPr>
    </w:p>
    <w:p w:rsidR="002941FE" w:rsidRDefault="00E67894">
      <w:pPr>
        <w:pStyle w:val="Default"/>
        <w:jc w:val="both"/>
        <w:rPr>
          <w:sz w:val="20"/>
        </w:rPr>
      </w:pPr>
      <w:proofErr w:type="gramStart"/>
      <w:r>
        <w:rPr>
          <w:sz w:val="20"/>
        </w:rPr>
        <w:t>c</w:t>
      </w:r>
      <w:r>
        <w:rPr>
          <w:sz w:val="20"/>
          <w:u w:val="single"/>
        </w:rPr>
        <w:t>) Törléshez, elfeledtetéshez való jog:</w:t>
      </w:r>
      <w:r>
        <w:rPr>
          <w:sz w:val="20"/>
        </w:rPr>
        <w:t xml:space="preserve"> Az Érintett jogosult arra, hogy az 1. pontban megadott elérhetőségeken keresztül írásban kérje személyes adatainak, vagy a képviseltjére vonatkozó személyes adatok törlését, ha a kezelt személyes adatokra már nincs szükség abból a célból, amelyből azokat az Adatkezelő felvette vagy más módon kezelte; vagy az Érintett tiltakozik az adatkezelése ellen, és adott esetben nincs elsőbbséget élvező jogszerű ok az adatkezelésre; továbbá ha a személyes adatok kezelése jogellenes; vagy a személyes adatokat az Adatkezelőre alkalmazandó uniós vagy tagállami jogban előír</w:t>
      </w:r>
      <w:proofErr w:type="gramEnd"/>
      <w:r>
        <w:rPr>
          <w:sz w:val="20"/>
        </w:rPr>
        <w:t xml:space="preserve">t jogi kötelezettség teljesítése miatt törölni kell; vagy a személyes adatok gyűjtésére az </w:t>
      </w:r>
      <w:proofErr w:type="gramStart"/>
      <w:r>
        <w:rPr>
          <w:sz w:val="20"/>
        </w:rPr>
        <w:t>információs</w:t>
      </w:r>
      <w:proofErr w:type="gramEnd"/>
      <w:r>
        <w:rPr>
          <w:sz w:val="20"/>
        </w:rPr>
        <w:t xml:space="preserve"> társadalommal összefüggő szolgáltatások nyújtásával kapcsolatosan került sor. </w:t>
      </w:r>
    </w:p>
    <w:p w:rsidR="002941FE" w:rsidRDefault="002941FE">
      <w:pPr>
        <w:pStyle w:val="Default"/>
        <w:jc w:val="both"/>
        <w:rPr>
          <w:sz w:val="20"/>
        </w:rPr>
      </w:pPr>
    </w:p>
    <w:p w:rsidR="002941FE" w:rsidRDefault="00E67894">
      <w:pPr>
        <w:pStyle w:val="Default"/>
        <w:jc w:val="both"/>
        <w:rPr>
          <w:sz w:val="20"/>
        </w:rPr>
      </w:pPr>
      <w:proofErr w:type="gramStart"/>
      <w:r>
        <w:rPr>
          <w:sz w:val="20"/>
        </w:rPr>
        <w:t>Amennyiben az adatkezelés az alábbi okok miatt szükséges, nem lehetséges a törlés, illetve elfeledtetéshez való jog érvényesítése így különösen a véleménynyilvánítás szabadságához és a tájékozódáshoz való jog gyakorlása céljából; a személyes adatok kezelését előíró, az Adatkezelőre alkalmazandó uniós vagy magyar jogban előírt jogi kötelezettség teljesítése céljából; a közérdekű archiválás céljából, tudományos és történelmi kutatási célból vagy statisztikai célból, amennyiben a törlés, illetve elfeledtetéshez való jog valószínűsíthetően lehetetlenné tenné vagy komolyan veszélyeztetné ezt az adatkezelést;</w:t>
      </w:r>
      <w:proofErr w:type="gramEnd"/>
      <w:r>
        <w:rPr>
          <w:sz w:val="20"/>
        </w:rPr>
        <w:t xml:space="preserve"> </w:t>
      </w:r>
      <w:proofErr w:type="gramStart"/>
      <w:r>
        <w:rPr>
          <w:sz w:val="20"/>
        </w:rPr>
        <w:t>vagy</w:t>
      </w:r>
      <w:proofErr w:type="gramEnd"/>
      <w:r>
        <w:rPr>
          <w:sz w:val="20"/>
        </w:rPr>
        <w:t xml:space="preserve"> szükséges a jogi igények előterjesztéséhez, érvényesítéséhez, illetve védelméhez. </w:t>
      </w:r>
    </w:p>
    <w:p w:rsidR="002941FE" w:rsidRDefault="002941FE">
      <w:pPr>
        <w:pStyle w:val="Default"/>
        <w:jc w:val="both"/>
        <w:rPr>
          <w:sz w:val="20"/>
        </w:rPr>
      </w:pPr>
    </w:p>
    <w:p w:rsidR="002941FE" w:rsidRDefault="00E67894">
      <w:pPr>
        <w:pStyle w:val="Default"/>
        <w:spacing w:after="10"/>
        <w:jc w:val="both"/>
        <w:rPr>
          <w:sz w:val="20"/>
        </w:rPr>
      </w:pPr>
      <w:r>
        <w:rPr>
          <w:sz w:val="20"/>
        </w:rPr>
        <w:t xml:space="preserve">d) </w:t>
      </w:r>
      <w:r>
        <w:rPr>
          <w:sz w:val="20"/>
          <w:u w:val="single"/>
        </w:rPr>
        <w:t>Adatkezelés korlátozásához, zárolásához való jog:</w:t>
      </w:r>
      <w:r>
        <w:rPr>
          <w:sz w:val="20"/>
        </w:rPr>
        <w:t xml:space="preserve"> Az Érintett jogosult arra, hogy az 1. pontban megadott elérhetőségeken keresztül kérje Adatkezelőtől, hogy személyes adatainak/képviseltje személyes adatainak kezelését korlátozza, ha </w:t>
      </w:r>
    </w:p>
    <w:p w:rsidR="002941FE" w:rsidRDefault="00E67894">
      <w:pPr>
        <w:pStyle w:val="Default"/>
        <w:numPr>
          <w:ilvl w:val="0"/>
          <w:numId w:val="6"/>
        </w:numPr>
        <w:spacing w:after="10"/>
        <w:jc w:val="both"/>
        <w:rPr>
          <w:sz w:val="20"/>
        </w:rPr>
      </w:pPr>
      <w:r>
        <w:rPr>
          <w:sz w:val="20"/>
        </w:rPr>
        <w:t xml:space="preserve">vitatja a személyes adatok pontosságát (a pontosság Adatkezelő általi ellenőrzésének időtartamára); </w:t>
      </w:r>
    </w:p>
    <w:p w:rsidR="002941FE" w:rsidRDefault="00E67894">
      <w:pPr>
        <w:pStyle w:val="Default"/>
        <w:numPr>
          <w:ilvl w:val="0"/>
          <w:numId w:val="6"/>
        </w:numPr>
        <w:spacing w:after="10"/>
        <w:jc w:val="both"/>
        <w:rPr>
          <w:sz w:val="20"/>
        </w:rPr>
      </w:pPr>
      <w:r>
        <w:rPr>
          <w:sz w:val="20"/>
        </w:rPr>
        <w:t xml:space="preserve">vitatja az adatkezelés jogszerűségét és az adat felhasználásának korlátozását kéri; </w:t>
      </w:r>
    </w:p>
    <w:p w:rsidR="002941FE" w:rsidRDefault="00E67894">
      <w:pPr>
        <w:pStyle w:val="Default"/>
        <w:numPr>
          <w:ilvl w:val="0"/>
          <w:numId w:val="6"/>
        </w:numPr>
        <w:spacing w:after="10"/>
        <w:jc w:val="both"/>
        <w:rPr>
          <w:sz w:val="20"/>
        </w:rPr>
      </w:pPr>
      <w:r>
        <w:rPr>
          <w:sz w:val="20"/>
        </w:rPr>
        <w:t xml:space="preserve">jogi igények előterjesztéséhez, érvényesítéséhez vagy védelméhez igényli, bár az Adatkezelőnek már nincs szüksége a személyes adatokra, </w:t>
      </w:r>
    </w:p>
    <w:p w:rsidR="002941FE" w:rsidRDefault="00E67894">
      <w:pPr>
        <w:pStyle w:val="Default"/>
        <w:numPr>
          <w:ilvl w:val="0"/>
          <w:numId w:val="6"/>
        </w:numPr>
        <w:jc w:val="both"/>
        <w:rPr>
          <w:sz w:val="20"/>
        </w:rPr>
      </w:pPr>
      <w:r>
        <w:rPr>
          <w:sz w:val="20"/>
        </w:rPr>
        <w:t xml:space="preserve">illetve ha az érintett tiltakozott az adatkezelés ellen. Ebben az esetben az Adatkezelő a személyes adatokat a tárolás kivételével csak az érintett hozzájárulásával vagy jogi igény előterjesztéséhez, érvényesítéséhez, védelméhez vagy más természetes személy vagy jogi személy jogainak védelme érdekében vagy fontos közérdekből kezelheti. </w:t>
      </w:r>
    </w:p>
    <w:p w:rsidR="002941FE" w:rsidRDefault="002941FE">
      <w:pPr>
        <w:pStyle w:val="Default"/>
        <w:jc w:val="both"/>
        <w:rPr>
          <w:sz w:val="20"/>
        </w:rPr>
      </w:pPr>
    </w:p>
    <w:p w:rsidR="002941FE" w:rsidRDefault="00E67894">
      <w:pPr>
        <w:pStyle w:val="Default"/>
        <w:jc w:val="both"/>
        <w:rPr>
          <w:sz w:val="20"/>
        </w:rPr>
      </w:pPr>
      <w:r>
        <w:rPr>
          <w:sz w:val="20"/>
        </w:rPr>
        <w:t xml:space="preserve">Ha az adatkezelés a fentiek alapján adatkezelési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 Az adatkezelés korlátozásának feloldásáról az Adatkezelő előzetesen tájékoztatja az Érintettet. </w:t>
      </w:r>
    </w:p>
    <w:p w:rsidR="002941FE" w:rsidRDefault="002941FE">
      <w:pPr>
        <w:pStyle w:val="Default"/>
        <w:numPr>
          <w:ilvl w:val="0"/>
          <w:numId w:val="7"/>
        </w:numPr>
        <w:jc w:val="both"/>
        <w:rPr>
          <w:sz w:val="20"/>
        </w:rPr>
      </w:pPr>
    </w:p>
    <w:p w:rsidR="002941FE" w:rsidRDefault="00E67894">
      <w:pPr>
        <w:pStyle w:val="Default"/>
        <w:jc w:val="both"/>
        <w:rPr>
          <w:sz w:val="20"/>
        </w:rPr>
      </w:pPr>
      <w:proofErr w:type="gramStart"/>
      <w:r>
        <w:rPr>
          <w:sz w:val="20"/>
        </w:rPr>
        <w:t>e</w:t>
      </w:r>
      <w:proofErr w:type="gramEnd"/>
      <w:r>
        <w:rPr>
          <w:sz w:val="20"/>
        </w:rPr>
        <w:t xml:space="preserve">) </w:t>
      </w:r>
      <w:r>
        <w:rPr>
          <w:sz w:val="20"/>
          <w:u w:val="single"/>
        </w:rPr>
        <w:t>A személyes adatok helyesbítéséhez vagy törléséhez,</w:t>
      </w:r>
      <w:r>
        <w:rPr>
          <w:sz w:val="20"/>
        </w:rPr>
        <w:t xml:space="preserve"> illetve az adatkezelés korlátozásához kapcsolódó értesítési kötelezettség: Az Adatkezelő minden olyan címzettet tájékoztat valamennyi helyesbítésről, törlésről vagy adatkezelési korlátozásról, akivel, illetve amellyel a személyes adatot közölte, kivéve, ha ez lehetetlennek bizonyul, vagy aránytalanul nagy erőfeszítést igényel. </w:t>
      </w:r>
    </w:p>
    <w:p w:rsidR="002941FE" w:rsidRDefault="002941FE">
      <w:pPr>
        <w:pStyle w:val="Default"/>
        <w:jc w:val="both"/>
        <w:rPr>
          <w:sz w:val="20"/>
        </w:rPr>
      </w:pPr>
    </w:p>
    <w:p w:rsidR="002941FE" w:rsidRDefault="00E67894">
      <w:pPr>
        <w:pStyle w:val="Default"/>
        <w:jc w:val="both"/>
        <w:rPr>
          <w:sz w:val="20"/>
        </w:rPr>
      </w:pPr>
      <w:proofErr w:type="gramStart"/>
      <w:r>
        <w:rPr>
          <w:sz w:val="20"/>
        </w:rPr>
        <w:t>f</w:t>
      </w:r>
      <w:proofErr w:type="gramEnd"/>
      <w:r>
        <w:rPr>
          <w:sz w:val="20"/>
        </w:rPr>
        <w:t xml:space="preserve">) </w:t>
      </w:r>
      <w:r>
        <w:rPr>
          <w:sz w:val="20"/>
          <w:u w:val="single"/>
        </w:rPr>
        <w:t>Tiltakozáshoz való jog:</w:t>
      </w:r>
      <w:r>
        <w:rPr>
          <w:sz w:val="20"/>
        </w:rPr>
        <w:t xml:space="preserve"> Érintett jogosult arra, hogy a saját helyzetével kapcsolatos okokból bármikor tiltakozzon személyes adatainak, képviseltje személyes adatainak kezelése ellen. Ebben az esetben az Adatkezelő a személyes adatokat nem kezeli tovább, kivéve, ha bizonyítást nyer, hogy az adatkezelést olyan kényszerítő erejű jogos okok indokolják, amelyek elsőbbséget élveznek az érintett érdekeivel, jogaival és szabadságaival szemben, vagy amelyek jogi igények előterjesztéséhez, érvényesítéséhez vagy védelméhez szorosan kapcsolódnak. Az információs társadalommal összefüggő szolgáltatások igénybevételéhez kapcsolódóan és a 2002/58/EK irányelvtől eltérve érintett a tiltakozáshoz való jogot műszaki előírásokon alapuló automatizált eszközökkel is gyakorolhatja. </w:t>
      </w:r>
    </w:p>
    <w:p w:rsidR="002941FE" w:rsidRDefault="002941FE">
      <w:pPr>
        <w:pStyle w:val="Default"/>
        <w:jc w:val="both"/>
        <w:rPr>
          <w:sz w:val="20"/>
        </w:rPr>
      </w:pPr>
    </w:p>
    <w:p w:rsidR="002941FE" w:rsidRDefault="00E67894">
      <w:pPr>
        <w:pStyle w:val="Default"/>
        <w:jc w:val="both"/>
        <w:rPr>
          <w:sz w:val="20"/>
        </w:rPr>
      </w:pPr>
      <w:proofErr w:type="gramStart"/>
      <w:r>
        <w:rPr>
          <w:sz w:val="20"/>
        </w:rPr>
        <w:t>g</w:t>
      </w:r>
      <w:proofErr w:type="gramEnd"/>
      <w:r>
        <w:rPr>
          <w:sz w:val="20"/>
        </w:rPr>
        <w:t xml:space="preserve">) </w:t>
      </w:r>
      <w:r>
        <w:rPr>
          <w:sz w:val="20"/>
          <w:u w:val="single"/>
        </w:rPr>
        <w:t xml:space="preserve">Jogorvoslathoz való jog: </w:t>
      </w:r>
    </w:p>
    <w:p w:rsidR="002941FE" w:rsidRDefault="002941FE">
      <w:pPr>
        <w:pStyle w:val="Default"/>
        <w:jc w:val="both"/>
        <w:rPr>
          <w:sz w:val="20"/>
        </w:rPr>
      </w:pPr>
    </w:p>
    <w:p w:rsidR="002941FE" w:rsidRDefault="00E67894">
      <w:pPr>
        <w:pStyle w:val="Default"/>
        <w:jc w:val="both"/>
        <w:rPr>
          <w:sz w:val="20"/>
        </w:rPr>
      </w:pPr>
      <w:r>
        <w:rPr>
          <w:sz w:val="20"/>
        </w:rPr>
        <w:t xml:space="preserve">Érintett a személyes adatok kezelésével kapcsolatban panaszával az Adatkezelő adatvédelmi tisztviselőjéhez fordulhat. </w:t>
      </w:r>
    </w:p>
    <w:p w:rsidR="002941FE" w:rsidRDefault="00E67894">
      <w:pPr>
        <w:pStyle w:val="Default"/>
        <w:jc w:val="both"/>
        <w:rPr>
          <w:color w:val="0000FF"/>
          <w:sz w:val="20"/>
        </w:rPr>
      </w:pPr>
      <w:r>
        <w:rPr>
          <w:sz w:val="20"/>
        </w:rPr>
        <w:t>Panasztételhez való jog: amennyiben az Érintett megítélése szerint a rá, vagy képviseltjére vonatkozó személyes adatok kezelése jogszabálysértő, úgy a Nemzeti Adatvédelmi és Információszabadság Hatósághoz (felügyeleti hatóság) fordulhat. A Felügyeleti hatóság elérhetőségei: székhelye: 1055 Budapest, Falk Miksa u. 9-11. postai címe: 1363 Budapest, Pf.: 9</w:t>
      </w:r>
      <w:proofErr w:type="gramStart"/>
      <w:r>
        <w:rPr>
          <w:sz w:val="20"/>
        </w:rPr>
        <w:t>.,</w:t>
      </w:r>
      <w:proofErr w:type="gramEnd"/>
      <w:r>
        <w:rPr>
          <w:sz w:val="20"/>
        </w:rPr>
        <w:t xml:space="preserve"> telefon: +36 1 391-1400, honlap: www.naih.hu, e-mail: </w:t>
      </w:r>
      <w:r>
        <w:rPr>
          <w:color w:val="0000FF"/>
          <w:sz w:val="20"/>
        </w:rPr>
        <w:t xml:space="preserve">ugyfelszolgalat@naih.hu </w:t>
      </w:r>
    </w:p>
    <w:p w:rsidR="00E67894" w:rsidRDefault="00E67894">
      <w:pPr>
        <w:pStyle w:val="Default"/>
        <w:jc w:val="both"/>
        <w:rPr>
          <w:sz w:val="20"/>
        </w:rPr>
      </w:pPr>
    </w:p>
    <w:p w:rsidR="002941FE" w:rsidRDefault="00E67894">
      <w:pPr>
        <w:pStyle w:val="Default"/>
        <w:jc w:val="both"/>
        <w:rPr>
          <w:sz w:val="20"/>
        </w:rPr>
      </w:pPr>
      <w:r>
        <w:rPr>
          <w:sz w:val="20"/>
        </w:rPr>
        <w:t xml:space="preserve">Bírósági jogorvoslathoz való jog: amennyiben az Érintett megítélése szerint személyes adatainak/képviseltje személyes adatainak nem megfelelő kezelése következtében megsértették a jogszabály szerinti jogokat, akkor pert indíthat, melynek során a bíróság soron kívül jár el. Ebben az esetben szabadon eldöntheti, hogy a lakóhelye vagy a tartózkodási helye, illetve az Adatkezelő székhelye szerint illetékes törvényszéknél nyújtja-e be keresetét. A lakóhelye vagy tartózkodási helye szerinti törvényszéket megkeresheti a http://birosag.hu/birosag-kereso oldalon. Adatkezelő székhelye szerint a perre a Győri Törvényszék rendelkezik illetékességgel. </w:t>
      </w:r>
    </w:p>
    <w:p w:rsidR="002941FE" w:rsidRDefault="002941FE">
      <w:pPr>
        <w:pStyle w:val="Default"/>
        <w:jc w:val="both"/>
        <w:rPr>
          <w:sz w:val="20"/>
        </w:rPr>
      </w:pPr>
    </w:p>
    <w:p w:rsidR="002941FE" w:rsidRDefault="002941FE">
      <w:pPr>
        <w:pStyle w:val="Default"/>
        <w:jc w:val="both"/>
        <w:rPr>
          <w:sz w:val="20"/>
        </w:rPr>
      </w:pPr>
    </w:p>
    <w:p w:rsidR="002941FE" w:rsidRDefault="002941FE">
      <w:pPr>
        <w:pStyle w:val="Default"/>
        <w:jc w:val="both"/>
        <w:rPr>
          <w:sz w:val="20"/>
        </w:rPr>
      </w:pPr>
    </w:p>
    <w:p w:rsidR="002941FE" w:rsidRDefault="002941FE">
      <w:pPr>
        <w:pStyle w:val="Default"/>
        <w:jc w:val="both"/>
        <w:rPr>
          <w:sz w:val="20"/>
        </w:rPr>
      </w:pPr>
    </w:p>
    <w:p w:rsidR="002941FE" w:rsidRDefault="00E67894">
      <w:pPr>
        <w:pStyle w:val="Default"/>
        <w:jc w:val="both"/>
        <w:rPr>
          <w:sz w:val="20"/>
        </w:rPr>
      </w:pPr>
      <w:r>
        <w:rPr>
          <w:sz w:val="20"/>
        </w:rPr>
        <w:t>A tájékoztató utolsó módosításának időpontja: 202</w:t>
      </w:r>
      <w:r w:rsidR="00CF7141">
        <w:rPr>
          <w:sz w:val="20"/>
        </w:rPr>
        <w:t>6</w:t>
      </w:r>
      <w:r w:rsidR="00152220">
        <w:rPr>
          <w:sz w:val="20"/>
        </w:rPr>
        <w:t xml:space="preserve">. </w:t>
      </w:r>
      <w:r w:rsidR="00FD4258">
        <w:rPr>
          <w:sz w:val="20"/>
        </w:rPr>
        <w:t>március 13.</w:t>
      </w:r>
      <w:r>
        <w:rPr>
          <w:sz w:val="20"/>
        </w:rPr>
        <w:t xml:space="preserve"> </w:t>
      </w:r>
    </w:p>
    <w:sectPr w:rsidR="002941FE">
      <w:pgSz w:w="11906" w:h="16838"/>
      <w:pgMar w:top="1134" w:right="1134" w:bottom="1134" w:left="1134" w:header="0" w:footer="0" w:gutter="0"/>
      <w:cols w:space="708"/>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F76"/>
    <w:multiLevelType w:val="multilevel"/>
    <w:tmpl w:val="229293BA"/>
    <w:lvl w:ilvl="0">
      <w:start w:val="1"/>
      <w:numFmt w:val="lowerLetter"/>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703976"/>
    <w:multiLevelType w:val="multilevel"/>
    <w:tmpl w:val="5DE6C834"/>
    <w:lvl w:ilvl="0">
      <w:start w:val="1"/>
      <w:numFmt w:val="lowerLetter"/>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3F959E7"/>
    <w:multiLevelType w:val="multilevel"/>
    <w:tmpl w:val="83FA97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AA01540"/>
    <w:multiLevelType w:val="multilevel"/>
    <w:tmpl w:val="E2963DD8"/>
    <w:lvl w:ilvl="0">
      <w:start w:val="1"/>
      <w:numFmt w:val="lowerLetter"/>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8E273C3"/>
    <w:multiLevelType w:val="hybridMultilevel"/>
    <w:tmpl w:val="20385FC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A83481A"/>
    <w:multiLevelType w:val="multilevel"/>
    <w:tmpl w:val="A844B68C"/>
    <w:lvl w:ilvl="0">
      <w:start w:val="1"/>
      <w:numFmt w:val="lowerLetter"/>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E3B7EE1"/>
    <w:multiLevelType w:val="hybridMultilevel"/>
    <w:tmpl w:val="613A43DA"/>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E9D1AFF"/>
    <w:multiLevelType w:val="multilevel"/>
    <w:tmpl w:val="C144FB1C"/>
    <w:lvl w:ilvl="0">
      <w:start w:val="1"/>
      <w:numFmt w:val="lowerLetter"/>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22D1631"/>
    <w:multiLevelType w:val="multilevel"/>
    <w:tmpl w:val="110677EC"/>
    <w:lvl w:ilvl="0">
      <w:start w:val="1"/>
      <w:numFmt w:val="lowerLetter"/>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3FB5335"/>
    <w:multiLevelType w:val="multilevel"/>
    <w:tmpl w:val="C2DAD5CC"/>
    <w:lvl w:ilvl="0">
      <w:start w:val="1"/>
      <w:numFmt w:val="lowerLetter"/>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657F0F6C"/>
    <w:multiLevelType w:val="multilevel"/>
    <w:tmpl w:val="8534C57E"/>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02A5773"/>
    <w:multiLevelType w:val="multilevel"/>
    <w:tmpl w:val="2EC0064A"/>
    <w:lvl w:ilvl="0">
      <w:start w:val="1"/>
      <w:numFmt w:val="lowerLetter"/>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0"/>
  </w:num>
  <w:num w:numId="2">
    <w:abstractNumId w:val="0"/>
  </w:num>
  <w:num w:numId="3">
    <w:abstractNumId w:val="9"/>
  </w:num>
  <w:num w:numId="4">
    <w:abstractNumId w:val="5"/>
  </w:num>
  <w:num w:numId="5">
    <w:abstractNumId w:val="8"/>
  </w:num>
  <w:num w:numId="6">
    <w:abstractNumId w:val="3"/>
  </w:num>
  <w:num w:numId="7">
    <w:abstractNumId w:val="11"/>
  </w:num>
  <w:num w:numId="8">
    <w:abstractNumId w:val="7"/>
  </w:num>
  <w:num w:numId="9">
    <w:abstractNumId w:val="1"/>
  </w:num>
  <w:num w:numId="10">
    <w:abstractNumId w:val="2"/>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autoHyphenation/>
  <w:hyphenationZone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1FE"/>
    <w:rsid w:val="00095395"/>
    <w:rsid w:val="00152220"/>
    <w:rsid w:val="002941FE"/>
    <w:rsid w:val="004268D0"/>
    <w:rsid w:val="0045137F"/>
    <w:rsid w:val="00CF7141"/>
    <w:rsid w:val="00E67894"/>
    <w:rsid w:val="00FD425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81063"/>
  <w15:docId w15:val="{A8C802F5-E95D-4DC0-8585-60765B2C2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4"/>
        <w:szCs w:val="24"/>
        <w:lang w:val="hu-H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paragraph" w:customStyle="1" w:styleId="Cmsor">
    <w:name w:val="Címsor"/>
    <w:basedOn w:val="Norml"/>
    <w:next w:val="Szvegtrzs"/>
    <w:qFormat/>
    <w:pPr>
      <w:keepNext/>
      <w:spacing w:before="240" w:after="120"/>
    </w:pPr>
    <w:rPr>
      <w:rFonts w:ascii="Liberation Sans" w:eastAsia="Microsoft YaHei" w:hAnsi="Liberation Sans"/>
      <w:sz w:val="28"/>
      <w:szCs w:val="28"/>
    </w:rPr>
  </w:style>
  <w:style w:type="paragraph" w:styleId="Szvegtrzs">
    <w:name w:val="Body Text"/>
    <w:basedOn w:val="Norml"/>
    <w:pPr>
      <w:spacing w:after="140" w:line="276"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Trgymutat">
    <w:name w:val="Tárgymutató"/>
    <w:basedOn w:val="Norml"/>
    <w:qFormat/>
    <w:pPr>
      <w:suppressLineNumbers/>
    </w:pPr>
  </w:style>
  <w:style w:type="paragraph" w:customStyle="1" w:styleId="Cmsoruser">
    <w:name w:val="Címsor (user)"/>
    <w:basedOn w:val="Norml"/>
    <w:next w:val="Szvegtrzs"/>
    <w:qFormat/>
    <w:pPr>
      <w:keepNext/>
      <w:spacing w:before="240" w:after="120"/>
    </w:pPr>
    <w:rPr>
      <w:rFonts w:ascii="Liberation Sans" w:eastAsia="Microsoft YaHei" w:hAnsi="Liberation Sans"/>
      <w:sz w:val="28"/>
      <w:szCs w:val="28"/>
    </w:rPr>
  </w:style>
  <w:style w:type="paragraph" w:customStyle="1" w:styleId="Trgymutatuser">
    <w:name w:val="Tárgymutató (user)"/>
    <w:basedOn w:val="Norml"/>
    <w:qFormat/>
    <w:pPr>
      <w:suppressLineNumbers/>
    </w:pPr>
  </w:style>
  <w:style w:type="paragraph" w:customStyle="1" w:styleId="Default">
    <w:name w:val="Default"/>
    <w:qFormat/>
    <w:rPr>
      <w:rFonts w:ascii="Times New Roman" w:hAnsi="Times New Roman"/>
      <w:color w:val="000000"/>
    </w:rPr>
  </w:style>
  <w:style w:type="paragraph" w:styleId="Buborkszveg">
    <w:name w:val="Balloon Text"/>
    <w:basedOn w:val="Norml"/>
    <w:link w:val="BuborkszvegChar"/>
    <w:uiPriority w:val="99"/>
    <w:semiHidden/>
    <w:unhideWhenUsed/>
    <w:rsid w:val="0045137F"/>
    <w:rPr>
      <w:rFonts w:ascii="Segoe UI" w:hAnsi="Segoe UI" w:cs="Mangal"/>
      <w:sz w:val="18"/>
      <w:szCs w:val="16"/>
    </w:rPr>
  </w:style>
  <w:style w:type="character" w:customStyle="1" w:styleId="BuborkszvegChar">
    <w:name w:val="Buborékszöveg Char"/>
    <w:basedOn w:val="Bekezdsalapbettpusa"/>
    <w:link w:val="Buborkszveg"/>
    <w:uiPriority w:val="99"/>
    <w:semiHidden/>
    <w:rsid w:val="0045137F"/>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1921</Words>
  <Characters>13255</Characters>
  <Application>Microsoft Office Word</Application>
  <DocSecurity>4</DocSecurity>
  <Lines>110</Lines>
  <Paragraphs>30</Paragraphs>
  <ScaleCrop>false</ScaleCrop>
  <HeadingPairs>
    <vt:vector size="2" baseType="variant">
      <vt:variant>
        <vt:lpstr>Cím</vt:lpstr>
      </vt:variant>
      <vt:variant>
        <vt:i4>1</vt:i4>
      </vt:variant>
    </vt:vector>
  </HeadingPairs>
  <TitlesOfParts>
    <vt:vector size="1" baseType="lpstr">
      <vt:lpstr/>
    </vt:vector>
  </TitlesOfParts>
  <Company>Győr MJV PH</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E. Simon Katalin Ráhel</dc:creator>
  <cp:lastModifiedBy>Sándorné Szalay Andrea</cp:lastModifiedBy>
  <cp:revision>2</cp:revision>
  <cp:lastPrinted>2026-04-22T10:06:00Z</cp:lastPrinted>
  <dcterms:created xsi:type="dcterms:W3CDTF">2026-04-22T10:08:00Z</dcterms:created>
  <dcterms:modified xsi:type="dcterms:W3CDTF">2026-04-22T10:08:00Z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2023-09-08T09:20:00Z</dcterms:created>
  <dc:creator>Törökné Dr. Mánik Judit</dc:creator>
  <dc:description/>
  <dc:language>hu-HU</dc:language>
  <cp:lastModifiedBy/>
  <dcterms:modified xsi:type="dcterms:W3CDTF">2025-04-14T12:28:17Z</dcterms:modified>
  <cp:revision>2</cp:revision>
  <dc:subject/>
  <dc:title/>
</cp:coreProperties>
</file>